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tabs>
          <w:tab w:val="clear" w:pos="720"/>
          <w:tab w:val="left" w:pos="744" w:leader="none"/>
        </w:tabs>
        <w:spacing w:before="0" w:after="240"/>
        <w:ind w:left="425" w:hanging="0"/>
        <w:rPr>
          <w:rFonts w:eastAsia="Times New Roman"/>
          <w:szCs w:val="24"/>
        </w:rPr>
      </w:pPr>
      <w:r>
        <w:rPr>
          <w:i/>
        </w:rPr>
        <w:t>MANO NELLA MANO CAMMINEREMO INSIEME art. 40 - VERONA</w:t>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i/>
          <w:i/>
        </w:rPr>
      </w:pPr>
      <w:r>
        <w:rPr>
          <w:i/>
        </w:rPr>
        <w:t>Le attività che dovranno essere svolte a favore dei soggetti richiedenti saranno servizi individualizzati in relazione alle specifiche realtà e ai bisogni degli utenti: accompagnamento e supporto alla mobilità;  sostegno nello svolgimento delle attività inerenti la mansione e/o la carica ricoperta; raggiungimento del luogo di lavoro; affiancamento nelle diverse necessità del quotidiano (visite mediche, spesa, lettura corrispondenza), nelle attività socio-ricreative (conferenze, cinema, teatro, musica), lavorative (riunioni, incontri, corsi), culturali (lettura riviste, quotidiani e libri; mostre, musei) e sportive.</w:t>
      </w:r>
    </w:p>
    <w:p>
      <w:pPr>
        <w:pStyle w:val="Normal"/>
        <w:widowControl/>
        <w:tabs>
          <w:tab w:val="clear" w:pos="720"/>
          <w:tab w:val="left" w:pos="744" w:leader="none"/>
        </w:tabs>
        <w:suppressAutoHyphens w:val="true"/>
        <w:bidi w:val="0"/>
        <w:spacing w:lineRule="auto" w:line="276" w:before="0" w:after="0"/>
        <w:ind w:left="0" w:right="0" w:hanging="0"/>
        <w:jc w:val="both"/>
        <w:rPr>
          <w:i/>
          <w:i/>
        </w:rPr>
      </w:pPr>
      <w:r>
        <w:rPr>
          <w:i/>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i/>
          <w:i/>
        </w:rPr>
      </w:pPr>
      <w:r>
        <w:rPr>
          <w:i/>
        </w:rPr>
        <w:t>Per consolidare il rapporto e stimolare momenti di confronto con l’OLP, i volontari saranno impegnati in attività di affiancamento e supporto all’OLP in progetti che prevedono il coinvolgimento degli associati mediante incontri, anche in modalità on-line, corsi di approfondimento di tematiche legate alla disabilità visiva, eventi culturali e sportivi. L’obbiettivo di queste attività è permettere al volontario di entrare in contatto diretto con la realtà associativa, nonché approfondire le conoscenze nell’ambito della cecità e dell’ipovisione. Sarà momento utile anche per la condivisione delle esperienze e delle problematiche incontrate durante il servizio.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Unione Italiana Dei Ciechi e degli Ipovedenti ETS-APS    Sezione territoriale di Verona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Gino Trainotti n. 1 cap 37122 Verona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 xml:space="preserve">Tel.: 0458003172 e-mail: uicvr@uici.it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pec: verona@pec.uiciveneto.it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0"/>
        <w:jc w:val="both"/>
        <w:rPr>
          <w:sz w:val="22"/>
          <w:szCs w:val="22"/>
        </w:rPr>
      </w:pPr>
      <w:r>
        <w:rPr>
          <w:sz w:val="22"/>
          <w:szCs w:val="22"/>
        </w:rPr>
        <w:t>- Unione Italiana dei Ciechi e degli Ipovedenti ETS  - APS Sezione Verona</w:t>
      </w:r>
    </w:p>
    <w:p>
      <w:pPr>
        <w:pStyle w:val="Normal"/>
        <w:spacing w:before="0" w:after="0"/>
        <w:jc w:val="both"/>
        <w:rPr>
          <w:sz w:val="22"/>
          <w:szCs w:val="22"/>
        </w:rPr>
      </w:pPr>
      <w:r>
        <w:rPr>
          <w:sz w:val="22"/>
          <w:szCs w:val="22"/>
        </w:rPr>
        <w:t>Via Gino Trainotti 1, 37122 Verona</w:t>
      </w:r>
    </w:p>
    <w:p>
      <w:pPr>
        <w:pStyle w:val="Normal"/>
        <w:spacing w:before="0" w:after="0"/>
        <w:jc w:val="both"/>
        <w:rPr>
          <w:sz w:val="22"/>
          <w:szCs w:val="22"/>
        </w:rPr>
      </w:pPr>
      <w:r>
        <w:rPr/>
        <w:t>Per il modulo  5 C Il sistema di lettura e scrittura braille e ausili tifloinformatici applicati</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Paragrafoelenco"/>
        <w:pageBreakBefore w:val="false"/>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235</TotalTime>
  <Application>LibreOffice/7.4.2.3$Windows_X86_64 LibreOffice_project/382eef1f22670f7f4118c8c2dd222ec7ad009daf</Application>
  <AppVersion>15.0000</AppVersion>
  <Pages>7</Pages>
  <Words>2308</Words>
  <Characters>13671</Characters>
  <CharactersWithSpaces>15759</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2023-11-13T17:38:38Z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